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F2D54" w:rsidRDefault="00000000">
      <w:pPr>
        <w:pBdr>
          <w:top w:val="nil"/>
          <w:left w:val="nil"/>
          <w:bottom w:val="nil"/>
          <w:right w:val="nil"/>
          <w:between w:val="nil"/>
        </w:pBdr>
        <w:bidi/>
        <w:rPr>
          <w:rFonts w:ascii="David" w:eastAsia="David" w:hAnsi="David" w:cs="David"/>
          <w:color w:val="000000"/>
          <w:sz w:val="28"/>
          <w:szCs w:val="28"/>
        </w:rPr>
      </w:pPr>
      <w:bookmarkStart w:id="0" w:name="_gjdgxs" w:colFirst="0" w:colLast="0"/>
      <w:bookmarkEnd w:id="0"/>
      <w:r>
        <w:rPr>
          <w:rFonts w:ascii="David" w:eastAsia="David" w:hAnsi="David" w:cs="David"/>
          <w:b/>
          <w:color w:val="000000"/>
          <w:sz w:val="28"/>
          <w:szCs w:val="28"/>
          <w:rtl/>
        </w:rPr>
        <w:t>משרד עורכי הדין</w:t>
      </w:r>
      <w:r>
        <w:rPr>
          <w:rFonts w:ascii="David" w:eastAsia="David" w:hAnsi="David" w:cs="David"/>
          <w:b/>
          <w:color w:val="000000"/>
          <w:sz w:val="28"/>
          <w:szCs w:val="28"/>
        </w:rPr>
        <w:t>KGZ</w:t>
      </w:r>
      <w:r>
        <w:rPr>
          <w:rFonts w:ascii="David" w:eastAsia="David" w:hAnsi="David" w:cs="David"/>
          <w:b/>
          <w:color w:val="000000"/>
          <w:sz w:val="28"/>
          <w:szCs w:val="28"/>
          <w:rtl/>
        </w:rPr>
        <w:t xml:space="preserve">  | קורנובסקי גבאי זיתוני מייצג ומלווה בעלים בפרויקטים של התחדשות עירונית, תוך הקפדה על יחס אישי מקצועי ומסור</w:t>
      </w:r>
    </w:p>
    <w:p w14:paraId="00000002"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03"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b/>
          <w:color w:val="000000"/>
          <w:sz w:val="28"/>
          <w:szCs w:val="28"/>
          <w:rtl/>
        </w:rPr>
        <w:t>אודות משרד עורכי הדין</w:t>
      </w:r>
      <w:r>
        <w:rPr>
          <w:rFonts w:ascii="David" w:eastAsia="David" w:hAnsi="David" w:cs="David"/>
          <w:b/>
          <w:color w:val="000000"/>
          <w:sz w:val="28"/>
          <w:szCs w:val="28"/>
        </w:rPr>
        <w:t>KGZ</w:t>
      </w:r>
      <w:r>
        <w:rPr>
          <w:rFonts w:ascii="David" w:eastAsia="David" w:hAnsi="David" w:cs="David"/>
          <w:b/>
          <w:color w:val="000000"/>
          <w:sz w:val="28"/>
          <w:szCs w:val="28"/>
          <w:rtl/>
        </w:rPr>
        <w:t xml:space="preserve">  | קורנובסקי גבאי זיתוני</w:t>
      </w:r>
    </w:p>
    <w:p w14:paraId="00000004"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05" w14:textId="77777777" w:rsidR="005F2D54" w:rsidRDefault="00000000">
      <w:pPr>
        <w:bidi/>
        <w:spacing w:before="280" w:after="280" w:line="276" w:lineRule="auto"/>
        <w:rPr>
          <w:rFonts w:ascii="David" w:eastAsia="David" w:hAnsi="David" w:cs="David"/>
          <w:b/>
          <w:color w:val="000000"/>
          <w:sz w:val="28"/>
          <w:szCs w:val="28"/>
        </w:rPr>
      </w:pPr>
      <w:r>
        <w:rPr>
          <w:rFonts w:ascii="David" w:eastAsia="David" w:hAnsi="David" w:cs="David"/>
          <w:b/>
          <w:color w:val="000000"/>
          <w:sz w:val="28"/>
          <w:szCs w:val="28"/>
          <w:rtl/>
        </w:rPr>
        <w:t xml:space="preserve">מאז הקמתו ב-2011, משרד עורכי דין </w:t>
      </w:r>
      <w:r>
        <w:rPr>
          <w:rFonts w:ascii="David" w:eastAsia="David" w:hAnsi="David" w:cs="David"/>
          <w:b/>
          <w:color w:val="000000"/>
          <w:sz w:val="28"/>
          <w:szCs w:val="28"/>
        </w:rPr>
        <w:t>KGZ</w:t>
      </w:r>
      <w:r>
        <w:rPr>
          <w:rFonts w:ascii="David" w:eastAsia="David" w:hAnsi="David" w:cs="David"/>
          <w:b/>
          <w:color w:val="000000"/>
          <w:sz w:val="28"/>
          <w:szCs w:val="28"/>
          <w:rtl/>
        </w:rPr>
        <w:t xml:space="preserve"> ה שם לו למטרה להוביל את תחום ההתחדשות העירונית ולייצג באופן בלעדי את בעלי הזכויות בקרקע. הניסיון והמומחיות הייחודית, תוך הקפדה על אי-ייצוג יזמים למניעת ניגודי עניינים, מבטיחים ללקוחותינו ביטחון מלא ומאפשרים לנו למקסם את זכויותיהם בהתקשרויות מול היזמים.</w:t>
      </w:r>
    </w:p>
    <w:p w14:paraId="00000006" w14:textId="77777777" w:rsidR="005F2D54" w:rsidRDefault="00000000">
      <w:pPr>
        <w:pBdr>
          <w:top w:val="nil"/>
          <w:left w:val="nil"/>
          <w:bottom w:val="nil"/>
          <w:right w:val="nil"/>
          <w:between w:val="nil"/>
        </w:pBdr>
        <w:bidi/>
        <w:spacing w:line="276" w:lineRule="auto"/>
        <w:rPr>
          <w:rFonts w:ascii="David" w:eastAsia="David" w:hAnsi="David" w:cs="David"/>
          <w:b/>
          <w:color w:val="000000"/>
          <w:sz w:val="28"/>
          <w:szCs w:val="28"/>
        </w:rPr>
      </w:pPr>
      <w:r>
        <w:rPr>
          <w:rFonts w:ascii="David" w:eastAsia="David" w:hAnsi="David" w:cs="David"/>
          <w:b/>
          <w:color w:val="000000"/>
          <w:sz w:val="28"/>
          <w:szCs w:val="28"/>
          <w:rtl/>
        </w:rPr>
        <w:t>המשרד מייצג בעלי זכויות בכ-100 פרויקטים ברחבי גוש דן, בהיקפים ובשלבי התקדמות שונים, החל בפרויקטים הנמצאים בשלבי ארגון ומשא ומתן,</w:t>
      </w:r>
    </w:p>
    <w:p w14:paraId="00000007" w14:textId="77777777" w:rsidR="005F2D54" w:rsidRDefault="00000000">
      <w:pPr>
        <w:pBdr>
          <w:top w:val="nil"/>
          <w:left w:val="nil"/>
          <w:bottom w:val="nil"/>
          <w:right w:val="nil"/>
          <w:between w:val="nil"/>
        </w:pBdr>
        <w:bidi/>
        <w:spacing w:line="276" w:lineRule="auto"/>
        <w:rPr>
          <w:rFonts w:ascii="David" w:eastAsia="David" w:hAnsi="David" w:cs="David"/>
          <w:b/>
          <w:color w:val="000000"/>
          <w:sz w:val="28"/>
          <w:szCs w:val="28"/>
        </w:rPr>
      </w:pPr>
      <w:r>
        <w:rPr>
          <w:rFonts w:ascii="David" w:eastAsia="David" w:hAnsi="David" w:cs="David"/>
          <w:b/>
          <w:color w:val="000000"/>
          <w:sz w:val="28"/>
          <w:szCs w:val="28"/>
          <w:rtl/>
        </w:rPr>
        <w:t xml:space="preserve"> דרך פרויקטים בשלבי תכנון שונים וכלה באלו שהסתיימו, נמסרו לבעליהם ונרשמו מחדש כבית משותף. </w:t>
      </w:r>
      <w:r>
        <w:rPr>
          <w:rFonts w:ascii="David" w:eastAsia="David" w:hAnsi="David" w:cs="David"/>
          <w:b/>
          <w:color w:val="000000"/>
          <w:sz w:val="28"/>
          <w:szCs w:val="28"/>
          <w:rtl/>
        </w:rPr>
        <w:br/>
        <w:t>צוות המשרד מתאפיין ביכולתו לספק שירות איכותי, מהיר ויעיל, תוך מתן ליווי אישי לכל בעלי הזכויות, והינו בעל הניסיון והיכולת לפתור מנעד רחב של בעיות, לפצח  אתגרים מורכבים ולקדם התחדשות עירונית במקצועיות וביעילות, יחד עם שמירה על תקשורת פתוחה ושקופה עם לקוחותינו וגישה ישירה לעורכי הדין.</w:t>
      </w:r>
    </w:p>
    <w:p w14:paraId="00000008" w14:textId="77777777" w:rsidR="005F2D54" w:rsidRDefault="005F2D54">
      <w:pPr>
        <w:pBdr>
          <w:top w:val="nil"/>
          <w:left w:val="nil"/>
          <w:bottom w:val="nil"/>
          <w:right w:val="nil"/>
          <w:between w:val="nil"/>
        </w:pBdr>
        <w:bidi/>
        <w:spacing w:line="276" w:lineRule="auto"/>
        <w:rPr>
          <w:rFonts w:ascii="Arial" w:eastAsia="Arial" w:hAnsi="Arial" w:cs="Arial"/>
          <w:sz w:val="24"/>
          <w:szCs w:val="24"/>
        </w:rPr>
      </w:pPr>
    </w:p>
    <w:p w14:paraId="00000009" w14:textId="77777777" w:rsidR="005F2D54" w:rsidRDefault="005F2D54">
      <w:pPr>
        <w:pBdr>
          <w:top w:val="nil"/>
          <w:left w:val="nil"/>
          <w:bottom w:val="nil"/>
          <w:right w:val="nil"/>
          <w:between w:val="nil"/>
        </w:pBdr>
        <w:bidi/>
        <w:spacing w:line="276" w:lineRule="auto"/>
        <w:rPr>
          <w:rFonts w:ascii="David" w:eastAsia="David" w:hAnsi="David" w:cs="David"/>
          <w:color w:val="000000"/>
          <w:sz w:val="28"/>
          <w:szCs w:val="28"/>
        </w:rPr>
      </w:pPr>
    </w:p>
    <w:p w14:paraId="0000000A" w14:textId="77777777" w:rsidR="005F2D54" w:rsidRDefault="00000000">
      <w:pPr>
        <w:pBdr>
          <w:top w:val="nil"/>
          <w:left w:val="nil"/>
          <w:bottom w:val="nil"/>
          <w:right w:val="nil"/>
          <w:between w:val="nil"/>
        </w:pBdr>
        <w:bidi/>
        <w:rPr>
          <w:rFonts w:ascii="David" w:eastAsia="David" w:hAnsi="David" w:cs="David"/>
          <w:color w:val="000000"/>
          <w:sz w:val="32"/>
          <w:szCs w:val="32"/>
        </w:rPr>
      </w:pPr>
      <w:r>
        <w:rPr>
          <w:rFonts w:ascii="David" w:eastAsia="David" w:hAnsi="David" w:cs="David"/>
          <w:b/>
          <w:color w:val="000000"/>
          <w:sz w:val="32"/>
          <w:szCs w:val="32"/>
          <w:rtl/>
        </w:rPr>
        <w:t>שותפות והנהלה</w:t>
      </w:r>
    </w:p>
    <w:p w14:paraId="0000000B"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0C"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b/>
          <w:color w:val="000000"/>
          <w:sz w:val="28"/>
          <w:szCs w:val="28"/>
          <w:rtl/>
        </w:rPr>
        <w:t>שותפה מייסדת - אוריתה קורנובסקי, עו"ד</w:t>
      </w:r>
    </w:p>
    <w:p w14:paraId="0000000D"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0E"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עו"ד קורנובסקי הינה בוגרת הפקולטה למדעי הרוח באוניברסיטה העברית בירושלים, וכן בעלת תואר ראשון במשפטים במכללה למנהל (</w:t>
      </w:r>
      <w:r>
        <w:rPr>
          <w:rFonts w:ascii="David" w:eastAsia="David" w:hAnsi="David" w:cs="David"/>
          <w:color w:val="000000"/>
          <w:sz w:val="28"/>
          <w:szCs w:val="28"/>
        </w:rPr>
        <w:t>LL.B</w:t>
      </w:r>
      <w:r>
        <w:rPr>
          <w:rFonts w:ascii="David" w:eastAsia="David" w:hAnsi="David" w:cs="David"/>
          <w:color w:val="000000"/>
          <w:sz w:val="28"/>
          <w:szCs w:val="28"/>
          <w:rtl/>
        </w:rPr>
        <w:t>) ותואר שני במשפט מסחרי מאוניברסיטת תל אביב (</w:t>
      </w:r>
      <w:r>
        <w:rPr>
          <w:rFonts w:ascii="David" w:eastAsia="David" w:hAnsi="David" w:cs="David"/>
          <w:color w:val="000000"/>
          <w:sz w:val="28"/>
          <w:szCs w:val="28"/>
        </w:rPr>
        <w:t>LL.M</w:t>
      </w:r>
      <w:r>
        <w:rPr>
          <w:rFonts w:ascii="David" w:eastAsia="David" w:hAnsi="David" w:cs="David"/>
          <w:color w:val="000000"/>
          <w:sz w:val="28"/>
          <w:szCs w:val="28"/>
          <w:rtl/>
        </w:rPr>
        <w:t>).  חברה בלשכת עורכי הדין משנת 2010.</w:t>
      </w:r>
    </w:p>
    <w:p w14:paraId="0000000F"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10"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 xml:space="preserve">עו"ד קורנובסקי הינה מהחלוצים בתחום ההתחדשות העירונית ומראשוני המאמינים בחשיבותו ובקידומו בפועל. עם הקמת המשרד על ידה בשנת 2011 עוסקת עו"ד קורנובסקי בתחום ההתחדשות כתחום עיסוקה הבלעדי, ובמהלך השנים רכשה כלים רבים אשר תורמים רבות לקידום הפרויקטים, וליכולתה להתמודד עם מגוון רחב של סוגיות ובעיות, העולות במהלך הפרויקט.  </w:t>
      </w:r>
    </w:p>
    <w:p w14:paraId="00000011"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12"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b/>
          <w:color w:val="000000"/>
          <w:sz w:val="28"/>
          <w:szCs w:val="28"/>
          <w:rtl/>
        </w:rPr>
        <w:t xml:space="preserve">שותפה מייסדת - הילה גבאי זיתוני, עו"ד ונוטריון </w:t>
      </w:r>
    </w:p>
    <w:p w14:paraId="00000013"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14"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עו"ד ונוטריון הילה גבאי זיתוני הינה בוגרת תואר ראשון במשפטים (</w:t>
      </w:r>
      <w:r>
        <w:rPr>
          <w:rFonts w:ascii="David" w:eastAsia="David" w:hAnsi="David" w:cs="David"/>
          <w:color w:val="000000"/>
          <w:sz w:val="28"/>
          <w:szCs w:val="28"/>
        </w:rPr>
        <w:t>LL.B</w:t>
      </w:r>
      <w:r>
        <w:rPr>
          <w:rFonts w:ascii="David" w:eastAsia="David" w:hAnsi="David" w:cs="David"/>
          <w:color w:val="000000"/>
          <w:sz w:val="28"/>
          <w:szCs w:val="28"/>
          <w:rtl/>
        </w:rPr>
        <w:t>) ותואר ראשון במנהל עסקים (</w:t>
      </w:r>
      <w:r>
        <w:rPr>
          <w:rFonts w:ascii="David" w:eastAsia="David" w:hAnsi="David" w:cs="David"/>
          <w:color w:val="000000"/>
          <w:sz w:val="28"/>
          <w:szCs w:val="28"/>
        </w:rPr>
        <w:t>B.A</w:t>
      </w:r>
      <w:r>
        <w:rPr>
          <w:rFonts w:ascii="David" w:eastAsia="David" w:hAnsi="David" w:cs="David"/>
          <w:color w:val="000000"/>
          <w:sz w:val="28"/>
          <w:szCs w:val="28"/>
          <w:rtl/>
        </w:rPr>
        <w:t xml:space="preserve">) בהצטיינות במרכז הבינתחומי בהרצליה. חברת בלשכת עוה"ד משנת 2011 והוסמכה כנוטריון בשנת 2022. </w:t>
      </w:r>
    </w:p>
    <w:p w14:paraId="00000015"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16"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 xml:space="preserve">עו"ד גבאי זיתוני מתמחה בייצוג וליווי עסקאות נדל"ן מגוונות ומורכבות בכללן התחדשות עירונית, קבוצות רכישה, עסקאות קומבינציה, ייצוג קבלנים, עסקאות מכר (קרקע, דירות, מסחרי וכו'). את ניסיונה העשיר בתחום הנדל"ן וההתחדשות צברה עו"ד גבאי זיתוני במשרדי עורכי דין מהגדולים והמובילים בארץ, במסגרתם </w:t>
      </w:r>
      <w:r>
        <w:rPr>
          <w:rFonts w:ascii="David" w:eastAsia="David" w:hAnsi="David" w:cs="David"/>
          <w:color w:val="000000"/>
          <w:sz w:val="28"/>
          <w:szCs w:val="28"/>
          <w:rtl/>
        </w:rPr>
        <w:lastRenderedPageBreak/>
        <w:t>לקחה חלק בייצוג יזמים בעסקאות נדל"ן מגוונות, לרבות במסגרת התחדשות עירונית.</w:t>
      </w:r>
    </w:p>
    <w:p w14:paraId="00000017"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18"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b/>
          <w:color w:val="000000"/>
          <w:sz w:val="28"/>
          <w:szCs w:val="28"/>
          <w:rtl/>
        </w:rPr>
        <w:t>התמחות בהתחדשות עירונית</w:t>
      </w:r>
    </w:p>
    <w:p w14:paraId="00000019"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1A"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 xml:space="preserve">משרדנו מעניק לבעלים ייעוץ, ליווי וייצוג משפטי מקיף- החל משלב ההתארגנות, סיוע באיתור ובחירת יזם ויועצים מטעם הבעלים, והכל עד להשלמת הפרויקט. </w:t>
      </w:r>
    </w:p>
    <w:p w14:paraId="0000001B"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1C"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 xml:space="preserve">מאז הקמתו בשנת 2011, מייצג המשרד מבחירה אך ורק את בעלי הזכויות ולא יזמים, ורכש ניסיון עשיר בתחום ספציפי זה. עובדה זו מחזקת את הקשר עם לקוחותינו ומגבירה את האמון שנדרש ביחסים בין לקוח ועו"ד, בייחוד בעסקה כה רגישה ביחס לנכסיהם.  </w:t>
      </w:r>
    </w:p>
    <w:p w14:paraId="0000001D"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 xml:space="preserve">היכרותן וניסיונן העשיר של שותפות המשרד מקנים להן יתרון משמעותי בייצוג ובהבנת האינטרסים השונים של הצדדים, תוך הבנה מעמיקה ביחס לאופן שבו כדאי ונכון לקדם התחדשות עירונית מטעם הבעלים על מנת למקסם את זכויותיהם בהתקשרות עם היזם. ייחודו של המשרד, בין היתר, הינו ביכולת ההבחנה בין עיקר לטפל מחד, ועמידה על קיומם של התנאים המשפטיים והמסחריים החשובים, מאידך,  באופן שתורם באופן מובהק לקידומו והשלמתו של הפרויקט בהצלחה. </w:t>
      </w:r>
    </w:p>
    <w:p w14:paraId="0000001E"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1F"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b/>
          <w:color w:val="000000"/>
          <w:sz w:val="28"/>
          <w:szCs w:val="28"/>
          <w:rtl/>
        </w:rPr>
        <w:t>שירותי "מעטפת" לבעלים בפרויקטים</w:t>
      </w:r>
    </w:p>
    <w:p w14:paraId="00000020"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21"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משרדנו מציע ללקוחות שירותי מעטפת הדרושים להם במסגרת קידום הפרויקט, כגון: ייצוג בעסקאות מכר באופן שמגן על זכויותיהם בפרויקט, בקשות לצווי ירושה/צוואה, מינוי אפוטרופוס, השלמות רישום בטאבו, מתן ייעוץ משפטי.</w:t>
      </w:r>
    </w:p>
    <w:p w14:paraId="00000022"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23"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b/>
          <w:color w:val="000000"/>
          <w:sz w:val="28"/>
          <w:szCs w:val="28"/>
          <w:rtl/>
        </w:rPr>
        <w:t xml:space="preserve">פרויקטים נבחרים </w:t>
      </w:r>
    </w:p>
    <w:p w14:paraId="00000024"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25"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b/>
          <w:color w:val="000000"/>
          <w:sz w:val="28"/>
          <w:szCs w:val="28"/>
          <w:rtl/>
        </w:rPr>
        <w:t>פינוי בינוי</w:t>
      </w:r>
    </w:p>
    <w:p w14:paraId="00000026"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הרצל 42-44 הרא"ה 2-4-6 דוד 4-6 ר"ג – כ-150 יחידות קיימות</w:t>
      </w:r>
    </w:p>
    <w:p w14:paraId="00000027"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 xml:space="preserve">שטמפפר/נחלת צבי פתח תקווה - כ-120 יחידות קיימות </w:t>
      </w:r>
    </w:p>
    <w:p w14:paraId="00000028"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זבוטינסקי 22, 28 ר"ג – כ-100 יחידות קיימות</w:t>
      </w:r>
    </w:p>
    <w:p w14:paraId="00000029"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 xml:space="preserve">ביאליק 1, 5, 7 והרשת 12-18 בת ים- כ- 80 יחידות קיימות. </w:t>
      </w:r>
    </w:p>
    <w:p w14:paraId="0000002A"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ארלוזורוב 19-27 ר"ג - 80 יחידות קיימות.</w:t>
      </w:r>
    </w:p>
    <w:p w14:paraId="0000002B"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תרצה 9-11 ירושלים 78 ר"ג – 40 יחידות קיימות</w:t>
      </w:r>
    </w:p>
    <w:p w14:paraId="0000002C"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נחלה 6-8 פנחס 57-59 ר"ג - 30 יחידות קיימות</w:t>
      </w:r>
    </w:p>
    <w:p w14:paraId="0000002D"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מטולה 12-14-16 ומשמר הירדן 2-4 ר"ג – 44 יחידות קיימות</w:t>
      </w:r>
    </w:p>
    <w:p w14:paraId="0000002E"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2F"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b/>
          <w:color w:val="000000"/>
          <w:sz w:val="28"/>
          <w:szCs w:val="28"/>
          <w:rtl/>
        </w:rPr>
        <w:t>תמ"א 38/2</w:t>
      </w:r>
    </w:p>
    <w:p w14:paraId="00000030"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 xml:space="preserve">צבי 11 ר"ג - אוכלס </w:t>
      </w:r>
    </w:p>
    <w:p w14:paraId="00000031"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 xml:space="preserve">בועז 4 ר"ג - אוכלס </w:t>
      </w:r>
    </w:p>
    <w:p w14:paraId="00000032"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הרב חבה 7 ר"ג - אוכלס</w:t>
      </w:r>
    </w:p>
    <w:p w14:paraId="00000033"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גורדון 33 גבעתיים – לקראת אכלוס</w:t>
      </w:r>
    </w:p>
    <w:p w14:paraId="00000034"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קפלן 39, 41 פ"ת – לקראת אכלוס</w:t>
      </w:r>
    </w:p>
    <w:p w14:paraId="00000035"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 xml:space="preserve">הכנסת הגדולה 11 ת"א –בשלבים אחרונים לפינוי וביצוע הפרויקט  </w:t>
      </w:r>
    </w:p>
    <w:p w14:paraId="00000036"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 xml:space="preserve">המשנה 5 ת"א - בשלבים אחרונים לפינוי וביצוע הפרויקט  </w:t>
      </w:r>
    </w:p>
    <w:p w14:paraId="00000037" w14:textId="77777777" w:rsidR="005F2D54" w:rsidRDefault="00000000">
      <w:pPr>
        <w:pBdr>
          <w:top w:val="nil"/>
          <w:left w:val="nil"/>
          <w:bottom w:val="nil"/>
          <w:right w:val="nil"/>
          <w:between w:val="nil"/>
        </w:pBdr>
        <w:bidi/>
        <w:rPr>
          <w:rFonts w:ascii="David" w:eastAsia="David" w:hAnsi="David" w:cs="David"/>
          <w:color w:val="000000"/>
          <w:sz w:val="28"/>
          <w:szCs w:val="28"/>
        </w:rPr>
      </w:pPr>
      <w:r>
        <w:rPr>
          <w:rFonts w:ascii="David" w:eastAsia="David" w:hAnsi="David" w:cs="David"/>
          <w:color w:val="000000"/>
          <w:sz w:val="28"/>
          <w:szCs w:val="28"/>
          <w:rtl/>
        </w:rPr>
        <w:t xml:space="preserve">גולומב 38 רמה"ש - בשלבים אחרונים לפינוי וביצוע הפרויקט  </w:t>
      </w:r>
    </w:p>
    <w:p w14:paraId="00000038"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39"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3A"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3B"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3C"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3D"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3E"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3F"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40" w14:textId="77777777" w:rsidR="005F2D54" w:rsidRDefault="005F2D54">
      <w:pPr>
        <w:pBdr>
          <w:top w:val="nil"/>
          <w:left w:val="nil"/>
          <w:bottom w:val="nil"/>
          <w:right w:val="nil"/>
          <w:between w:val="nil"/>
        </w:pBdr>
        <w:bidi/>
        <w:rPr>
          <w:rFonts w:ascii="David" w:eastAsia="David" w:hAnsi="David" w:cs="David"/>
          <w:color w:val="000000"/>
          <w:sz w:val="28"/>
          <w:szCs w:val="28"/>
        </w:rPr>
      </w:pPr>
    </w:p>
    <w:p w14:paraId="00000041" w14:textId="77777777" w:rsidR="005F2D54" w:rsidRDefault="005F2D54">
      <w:pPr>
        <w:pBdr>
          <w:top w:val="nil"/>
          <w:left w:val="nil"/>
          <w:bottom w:val="nil"/>
          <w:right w:val="nil"/>
          <w:between w:val="nil"/>
        </w:pBdr>
        <w:bidi/>
        <w:rPr>
          <w:rFonts w:ascii="David" w:eastAsia="David" w:hAnsi="David" w:cs="David"/>
          <w:color w:val="000000"/>
          <w:sz w:val="28"/>
          <w:szCs w:val="28"/>
        </w:rPr>
      </w:pPr>
    </w:p>
    <w:sectPr w:rsidR="005F2D54">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54"/>
    <w:rsid w:val="00136D15"/>
    <w:rsid w:val="005F2D54"/>
    <w:rsid w:val="009B16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docId w15:val="{B2C94EF3-30A5-48C2-810E-67714204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3276</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מגדילים  מגדילים</cp:lastModifiedBy>
  <cp:revision>2</cp:revision>
  <dcterms:created xsi:type="dcterms:W3CDTF">2024-11-13T09:14:00Z</dcterms:created>
  <dcterms:modified xsi:type="dcterms:W3CDTF">2024-11-13T09:14:00Z</dcterms:modified>
</cp:coreProperties>
</file>